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52" w:rsidRDefault="00DA4352" w:rsidP="00DA435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DA4352" w:rsidRDefault="00DA4352" w:rsidP="00D96A54">
      <w:pPr>
        <w:jc w:val="center"/>
        <w:rPr>
          <w:b/>
          <w:sz w:val="32"/>
          <w:szCs w:val="32"/>
        </w:rPr>
      </w:pPr>
      <w:r>
        <w:rPr>
          <w:b/>
          <w:color w:val="222222"/>
          <w:lang w:val="nb-NO" w:eastAsia="nb-NO"/>
        </w:rPr>
        <w:drawing>
          <wp:inline distT="0" distB="0" distL="0" distR="0">
            <wp:extent cx="2305050" cy="1440655"/>
            <wp:effectExtent l="0" t="0" r="0" b="0"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09" cy="1449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84" w:rsidRPr="00D96A54" w:rsidRDefault="00351167" w:rsidP="00DA4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</w:t>
      </w:r>
      <w:r w:rsidR="0055031B">
        <w:rPr>
          <w:b/>
          <w:sz w:val="28"/>
          <w:szCs w:val="28"/>
        </w:rPr>
        <w:t xml:space="preserve"> REPORT</w:t>
      </w:r>
    </w:p>
    <w:p w:rsidR="00340384" w:rsidRPr="00D96A54" w:rsidRDefault="00340384" w:rsidP="00DA4352">
      <w:pPr>
        <w:jc w:val="center"/>
        <w:rPr>
          <w:b/>
          <w:sz w:val="28"/>
          <w:szCs w:val="28"/>
        </w:rPr>
      </w:pPr>
      <w:r w:rsidRPr="00D96A54">
        <w:rPr>
          <w:b/>
          <w:sz w:val="28"/>
          <w:szCs w:val="28"/>
        </w:rPr>
        <w:t>1° Transnational Meeting</w:t>
      </w:r>
    </w:p>
    <w:p w:rsidR="00340384" w:rsidRPr="00D96A54" w:rsidRDefault="00340384" w:rsidP="00DA4352">
      <w:pPr>
        <w:jc w:val="center"/>
        <w:rPr>
          <w:b/>
          <w:sz w:val="28"/>
          <w:szCs w:val="28"/>
        </w:rPr>
      </w:pPr>
      <w:r w:rsidRPr="00D96A54">
        <w:rPr>
          <w:b/>
          <w:sz w:val="28"/>
          <w:szCs w:val="28"/>
        </w:rPr>
        <w:t>LEIRIA – P</w:t>
      </w:r>
      <w:r w:rsidR="008D1F2D">
        <w:rPr>
          <w:b/>
          <w:sz w:val="28"/>
          <w:szCs w:val="28"/>
        </w:rPr>
        <w:t>ortugal</w:t>
      </w:r>
    </w:p>
    <w:p w:rsidR="00340384" w:rsidRDefault="008D1F2D" w:rsidP="00D96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9- 11 November</w:t>
      </w:r>
      <w:r w:rsidR="00340384" w:rsidRPr="00D96A54">
        <w:rPr>
          <w:b/>
          <w:sz w:val="28"/>
          <w:szCs w:val="28"/>
        </w:rPr>
        <w:t xml:space="preserve"> 2016</w:t>
      </w:r>
    </w:p>
    <w:p w:rsidR="00A92DD9" w:rsidRDefault="00A92DD9" w:rsidP="00A92DD9">
      <w:pPr>
        <w:pStyle w:val="HTML-forhndsformatert"/>
        <w:shd w:val="clear" w:color="auto" w:fill="FFFFFF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At the conclusion of the first meeting held in the town of Leiria in Portugal from 9 to 11 November 2016 it was given to the participants a popularity test. The test was divided into three sections:</w:t>
      </w:r>
    </w:p>
    <w:p w:rsidR="00A92DD9" w:rsidRPr="00A92DD9" w:rsidRDefault="00A92DD9" w:rsidP="00A92DD9">
      <w:pPr>
        <w:pStyle w:val="HTML-forhndsformatert"/>
        <w:shd w:val="clear" w:color="auto" w:fill="FFFFFF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A92DD9" w:rsidRPr="00A92DD9" w:rsidRDefault="00A92DD9" w:rsidP="00340384">
      <w:pPr>
        <w:pStyle w:val="Listeavsnitt"/>
        <w:numPr>
          <w:ilvl w:val="0"/>
          <w:numId w:val="1"/>
        </w:numPr>
        <w:rPr>
          <w:b/>
          <w:color w:val="00B050"/>
        </w:rPr>
      </w:pPr>
      <w:r w:rsidRPr="00A92DD9">
        <w:rPr>
          <w:b/>
          <w:color w:val="00B050"/>
        </w:rPr>
        <w:t xml:space="preserve">ORGANIZATION </w:t>
      </w:r>
    </w:p>
    <w:p w:rsidR="00A92DD9" w:rsidRPr="00A92DD9" w:rsidRDefault="00A92DD9" w:rsidP="00A92DD9">
      <w:pPr>
        <w:pStyle w:val="Listeavsnitt"/>
        <w:numPr>
          <w:ilvl w:val="0"/>
          <w:numId w:val="1"/>
        </w:numPr>
        <w:rPr>
          <w:b/>
          <w:color w:val="FF0000"/>
        </w:rPr>
      </w:pPr>
      <w:r w:rsidRPr="00A92DD9">
        <w:rPr>
          <w:b/>
          <w:color w:val="FF0000"/>
        </w:rPr>
        <w:t>EDUCATIONAL ACTIVITIES</w:t>
      </w:r>
    </w:p>
    <w:p w:rsidR="00A92DD9" w:rsidRPr="00A92DD9" w:rsidRDefault="00A92DD9" w:rsidP="00A92DD9">
      <w:pPr>
        <w:pStyle w:val="Listeavsnitt"/>
        <w:numPr>
          <w:ilvl w:val="0"/>
          <w:numId w:val="1"/>
        </w:numPr>
        <w:rPr>
          <w:b/>
          <w:color w:val="0070C0"/>
        </w:rPr>
      </w:pPr>
      <w:r w:rsidRPr="00A92DD9">
        <w:rPr>
          <w:b/>
          <w:color w:val="0070C0"/>
        </w:rPr>
        <w:t>GENERAL VIEWS</w:t>
      </w:r>
    </w:p>
    <w:p w:rsidR="00E334EE" w:rsidRPr="00A92DD9" w:rsidRDefault="00A92DD9" w:rsidP="00A92DD9">
      <w:pPr>
        <w:pStyle w:val="HTML-forhndsformatert"/>
        <w:shd w:val="clear" w:color="auto" w:fill="FFFFFF"/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The organization was very positive in terms of effectiveness, appropriateness and functio</w:t>
      </w:r>
      <w:r w:rsidR="0055031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nality. Clear communication, </w:t>
      </w: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proper location, accurate and timely organization of the times, adequate equipment and good communication network among the participants.</w:t>
      </w:r>
    </w:p>
    <w:tbl>
      <w:tblPr>
        <w:tblpPr w:leftFromText="141" w:rightFromText="141" w:vertAnchor="text" w:tblpY="115"/>
        <w:tblW w:w="5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744"/>
        <w:gridCol w:w="1007"/>
        <w:gridCol w:w="1317"/>
        <w:gridCol w:w="1290"/>
      </w:tblGrid>
      <w:tr w:rsidR="008D1F2D" w:rsidRPr="008D1F2D" w:rsidTr="008D1F2D">
        <w:trPr>
          <w:trHeight w:val="315"/>
        </w:trPr>
        <w:tc>
          <w:tcPr>
            <w:tcW w:w="55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eastAsia="it-IT"/>
              </w:rPr>
            </w:pPr>
            <w:r w:rsidRPr="008D1F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B050"/>
                <w:sz w:val="24"/>
                <w:szCs w:val="24"/>
                <w:lang w:eastAsia="it-IT"/>
              </w:rPr>
              <w:t>Organization of meetings</w:t>
            </w:r>
          </w:p>
        </w:tc>
      </w:tr>
      <w:tr w:rsidR="008D1F2D" w:rsidRPr="008D1F2D" w:rsidTr="008D1F2D">
        <w:trPr>
          <w:trHeight w:val="42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18"/>
                <w:szCs w:val="18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18"/>
                <w:szCs w:val="18"/>
                <w:lang w:eastAsia="it-IT"/>
              </w:rPr>
              <w:t>PROPER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18"/>
                <w:szCs w:val="18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18"/>
                <w:szCs w:val="18"/>
                <w:lang w:eastAsia="it-IT"/>
              </w:rPr>
              <w:t>EFFICIENT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18"/>
                <w:szCs w:val="18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18"/>
                <w:szCs w:val="18"/>
                <w:lang w:eastAsia="it-IT"/>
              </w:rPr>
              <w:t>FUNCTIONAL</w:t>
            </w:r>
          </w:p>
        </w:tc>
      </w:tr>
      <w:tr w:rsidR="008D1F2D" w:rsidRPr="008D1F2D" w:rsidTr="008D1F2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very positive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34</w:t>
            </w:r>
          </w:p>
        </w:tc>
      </w:tr>
      <w:tr w:rsidR="008D1F2D" w:rsidRPr="008D1F2D" w:rsidTr="008D1F2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55031B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P</w:t>
            </w:r>
            <w:r w:rsidR="008D1F2D"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ositive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5</w:t>
            </w:r>
          </w:p>
        </w:tc>
      </w:tr>
      <w:tr w:rsidR="008D1F2D" w:rsidRPr="008D1F2D" w:rsidTr="008D1F2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little positive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0</w:t>
            </w:r>
          </w:p>
        </w:tc>
      </w:tr>
      <w:tr w:rsidR="008D1F2D" w:rsidRPr="008D1F2D" w:rsidTr="008D1F2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55031B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N</w:t>
            </w:r>
            <w:r w:rsidR="008D1F2D"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egative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</w:t>
            </w:r>
          </w:p>
        </w:tc>
      </w:tr>
      <w:tr w:rsidR="008D1F2D" w:rsidRPr="008D1F2D" w:rsidTr="008D1F2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very negative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0</w:t>
            </w:r>
          </w:p>
        </w:tc>
      </w:tr>
      <w:tr w:rsidR="008D1F2D" w:rsidRPr="008D1F2D" w:rsidTr="008D1F2D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</w:tr>
    </w:tbl>
    <w:p w:rsidR="00D96A54" w:rsidRDefault="00D96A54" w:rsidP="00E334EE"/>
    <w:p w:rsidR="00E334EE" w:rsidRDefault="00E334EE" w:rsidP="00E334EE"/>
    <w:p w:rsidR="00D96A54" w:rsidRDefault="00D96A54" w:rsidP="00E334EE">
      <w:pPr>
        <w:jc w:val="center"/>
      </w:pPr>
    </w:p>
    <w:p w:rsidR="00D96A54" w:rsidRDefault="00D96A54" w:rsidP="00E334EE">
      <w:pPr>
        <w:jc w:val="center"/>
      </w:pPr>
    </w:p>
    <w:p w:rsidR="00D96A54" w:rsidRDefault="00D96A54" w:rsidP="00E334EE">
      <w:pPr>
        <w:jc w:val="center"/>
      </w:pPr>
    </w:p>
    <w:p w:rsidR="00E334EE" w:rsidRDefault="008D1F2D" w:rsidP="00E334EE">
      <w:pPr>
        <w:jc w:val="center"/>
      </w:pPr>
      <w:r>
        <w:rPr>
          <w:lang w:val="nb-NO"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-882651</wp:posOffset>
            </wp:positionH>
            <wp:positionV relativeFrom="paragraph">
              <wp:posOffset>161926</wp:posOffset>
            </wp:positionV>
            <wp:extent cx="3819525" cy="2286000"/>
            <wp:effectExtent l="0" t="0" r="9525" b="19050"/>
            <wp:wrapNone/>
            <wp:docPr id="8" name="Gra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334EE" w:rsidRDefault="00E334EE" w:rsidP="00E334EE"/>
    <w:p w:rsidR="00340384" w:rsidRDefault="00340384"/>
    <w:p w:rsidR="00D96A54" w:rsidRDefault="00D96A54"/>
    <w:p w:rsidR="00D96A54" w:rsidRDefault="00D96A54"/>
    <w:p w:rsidR="00D96A54" w:rsidRDefault="00D96A54"/>
    <w:p w:rsidR="00D96A54" w:rsidRDefault="00D96A54"/>
    <w:p w:rsidR="00A92DD9" w:rsidRPr="00A92DD9" w:rsidRDefault="00A92DD9" w:rsidP="00A92DD9">
      <w:pPr>
        <w:pStyle w:val="Listeavsnitt"/>
        <w:jc w:val="center"/>
        <w:rPr>
          <w:b/>
          <w:color w:val="FF0000"/>
        </w:rPr>
      </w:pPr>
      <w:r w:rsidRPr="00A92DD9">
        <w:rPr>
          <w:b/>
          <w:color w:val="FF0000"/>
        </w:rPr>
        <w:t>EDUCATIONAL ACTIVITIES</w:t>
      </w:r>
    </w:p>
    <w:p w:rsidR="00A92DD9" w:rsidRDefault="00A92DD9" w:rsidP="00A92DD9">
      <w:pPr>
        <w:pStyle w:val="HTML-forhndsformatert"/>
        <w:shd w:val="clear" w:color="auto" w:fill="FFFFFF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The content</w:t>
      </w:r>
      <w:r w:rsidR="0055031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s</w:t>
      </w: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of the meeting were a deepening of knowledge already partly owned by the participants ·. The themes</w:t>
      </w:r>
      <w:r w:rsidR="00C7535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have been sufficiently  deepened</w:t>
      </w: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</w:t>
      </w:r>
      <w:r w:rsidR="00C7535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="0055031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A  very positive climate</w:t>
      </w: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has been created during the meeting</w:t>
      </w:r>
      <w:r w:rsidR="0055031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and very positive</w:t>
      </w: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methodologies used</w:t>
      </w:r>
      <w:r w:rsidR="00C7535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</w:t>
      </w:r>
    </w:p>
    <w:p w:rsidR="00A92DD9" w:rsidRPr="00A92DD9" w:rsidRDefault="00A92DD9" w:rsidP="00A92DD9">
      <w:pPr>
        <w:pStyle w:val="HTML-forhndsformatert"/>
        <w:shd w:val="clear" w:color="auto" w:fill="FFFFFF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34"/>
        <w:gridCol w:w="1134"/>
        <w:gridCol w:w="992"/>
      </w:tblGrid>
      <w:tr w:rsidR="008D1F2D" w:rsidRPr="008D1F2D" w:rsidTr="008D1F2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  <w:t>positive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C7535F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  <w:t>N</w:t>
            </w:r>
            <w:r w:rsidR="008D1F2D" w:rsidRPr="008D1F2D"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  <w:t>egative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  <w:t>enough</w:t>
            </w:r>
          </w:p>
        </w:tc>
      </w:tr>
      <w:tr w:rsidR="008D1F2D" w:rsidRPr="008D1F2D" w:rsidTr="008D1F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0"/>
                <w:szCs w:val="20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0"/>
                <w:szCs w:val="20"/>
                <w:lang w:eastAsia="it-IT"/>
              </w:rPr>
              <w:t>CONTENTS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16</w:t>
            </w:r>
          </w:p>
        </w:tc>
      </w:tr>
      <w:tr w:rsidR="008D1F2D" w:rsidRPr="008D1F2D" w:rsidTr="008D1F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0"/>
                <w:szCs w:val="20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0"/>
                <w:szCs w:val="20"/>
                <w:lang w:eastAsia="it-IT"/>
              </w:rPr>
              <w:t>TOPICS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</w:tr>
      <w:tr w:rsidR="008D1F2D" w:rsidRPr="008D1F2D" w:rsidTr="008D1F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0"/>
                <w:szCs w:val="20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0"/>
                <w:szCs w:val="20"/>
                <w:lang w:eastAsia="it-IT"/>
              </w:rPr>
              <w:t>CLIMATE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</w:tr>
      <w:tr w:rsidR="008D1F2D" w:rsidRPr="008D1F2D" w:rsidTr="008D1F2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0"/>
                <w:szCs w:val="20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0"/>
                <w:szCs w:val="20"/>
                <w:lang w:eastAsia="it-IT"/>
              </w:rPr>
              <w:t>METHODOLOGIES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</w:tr>
    </w:tbl>
    <w:p w:rsidR="00D96A54" w:rsidRDefault="008D1F2D">
      <w:r>
        <w:rPr>
          <w:lang w:val="nb-NO"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44450</wp:posOffset>
            </wp:positionV>
            <wp:extent cx="4048125" cy="2209800"/>
            <wp:effectExtent l="0" t="0" r="9525" b="19050"/>
            <wp:wrapNone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64F64" w:rsidRDefault="00A64F64"/>
    <w:p w:rsidR="00F26B7B" w:rsidRDefault="00F26B7B"/>
    <w:p w:rsidR="00F26B7B" w:rsidRDefault="00F26B7B"/>
    <w:p w:rsidR="00F26B7B" w:rsidRDefault="00F26B7B"/>
    <w:p w:rsidR="00F26B7B" w:rsidRDefault="00F26B7B"/>
    <w:p w:rsidR="00F26B7B" w:rsidRDefault="00F26B7B"/>
    <w:p w:rsidR="00A92DD9" w:rsidRDefault="00A92DD9" w:rsidP="00A92DD9">
      <w:pPr>
        <w:pStyle w:val="HTML-forhndsformatert"/>
        <w:shd w:val="clear" w:color="auto" w:fill="FFFFFF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A92DD9" w:rsidRPr="00A92DD9" w:rsidRDefault="00A92DD9" w:rsidP="00A92DD9">
      <w:pPr>
        <w:pStyle w:val="HTML-forhndsformatert"/>
        <w:shd w:val="clear" w:color="auto" w:fill="FFFFFF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The degree of involvement of the pa</w:t>
      </w:r>
      <w:r w:rsidR="0055031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rticipants, </w:t>
      </w: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the interest of the issues addressed and the content</w:t>
      </w:r>
      <w:r w:rsidR="0055031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s</w:t>
      </w: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of the meetings, both the quality and quantity of ed</w:t>
      </w:r>
      <w:r w:rsidR="0055031B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ucational materials distributed were very positive.</w:t>
      </w:r>
    </w:p>
    <w:p w:rsidR="00A92DD9" w:rsidRDefault="00C7535F" w:rsidP="00A92DD9">
      <w:pPr>
        <w:pStyle w:val="HTML-forhndsformatert"/>
        <w:shd w:val="clear" w:color="auto" w:fill="FFFFFF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Very interesting  were</w:t>
      </w:r>
      <w:r w:rsidR="00A92DD9"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the technical tools used and the use of Camtasia software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</w:t>
      </w:r>
    </w:p>
    <w:p w:rsidR="00A92DD9" w:rsidRPr="00A92DD9" w:rsidRDefault="00A92DD9" w:rsidP="00A92DD9">
      <w:pPr>
        <w:pStyle w:val="HTML-forhndsformatert"/>
        <w:shd w:val="clear" w:color="auto" w:fill="FFFFFF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480"/>
        <w:gridCol w:w="1060"/>
        <w:gridCol w:w="1300"/>
        <w:gridCol w:w="1020"/>
        <w:gridCol w:w="1560"/>
      </w:tblGrid>
      <w:tr w:rsidR="008D1F2D" w:rsidRPr="008D1F2D" w:rsidTr="008D1F2D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noProof w:val="0"/>
                <w:color w:val="FF0000"/>
                <w:sz w:val="20"/>
                <w:szCs w:val="20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b/>
                <w:bCs/>
                <w:noProof w:val="0"/>
                <w:color w:val="FF0000"/>
                <w:sz w:val="20"/>
                <w:szCs w:val="20"/>
                <w:lang w:eastAsia="it-IT"/>
              </w:rPr>
              <w:t>very positive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noProof w:val="0"/>
                <w:color w:val="FF0000"/>
                <w:sz w:val="20"/>
                <w:szCs w:val="20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b/>
                <w:bCs/>
                <w:noProof w:val="0"/>
                <w:color w:val="FF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noProof w:val="0"/>
                <w:color w:val="FF0000"/>
                <w:sz w:val="20"/>
                <w:szCs w:val="20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b/>
                <w:bCs/>
                <w:noProof w:val="0"/>
                <w:color w:val="FF0000"/>
                <w:sz w:val="20"/>
                <w:szCs w:val="20"/>
                <w:lang w:eastAsia="it-IT"/>
              </w:rPr>
              <w:t xml:space="preserve"> little positive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noProof w:val="0"/>
                <w:color w:val="FF0000"/>
                <w:sz w:val="20"/>
                <w:szCs w:val="20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b/>
                <w:bCs/>
                <w:noProof w:val="0"/>
                <w:color w:val="FF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noProof w:val="0"/>
                <w:color w:val="FF0000"/>
                <w:sz w:val="20"/>
                <w:szCs w:val="20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b/>
                <w:bCs/>
                <w:noProof w:val="0"/>
                <w:color w:val="FF0000"/>
                <w:sz w:val="20"/>
                <w:szCs w:val="20"/>
                <w:lang w:eastAsia="it-IT"/>
              </w:rPr>
              <w:t>very negative</w:t>
            </w:r>
          </w:p>
        </w:tc>
      </w:tr>
      <w:tr w:rsidR="008D1F2D" w:rsidRPr="008D1F2D" w:rsidTr="008D1F2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  <w:t>Degree of involvement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</w:tr>
      <w:tr w:rsidR="008D1F2D" w:rsidRPr="008D1F2D" w:rsidTr="008D1F2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  <w:t>Quantity of the material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</w:tr>
      <w:tr w:rsidR="008D1F2D" w:rsidRPr="008D1F2D" w:rsidTr="008D1F2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  <w:t>Quality of the material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</w:tr>
      <w:tr w:rsidR="008D1F2D" w:rsidRPr="008D1F2D" w:rsidTr="008D1F2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  <w:t>technical Tools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</w:tr>
      <w:tr w:rsidR="008D1F2D" w:rsidRPr="008D1F2D" w:rsidTr="008D1F2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  <w:t>video lessons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</w:tr>
      <w:tr w:rsidR="008D1F2D" w:rsidRPr="008D1F2D" w:rsidTr="008D1F2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</w:pPr>
            <w:r w:rsidRPr="008D1F2D">
              <w:rPr>
                <w:rFonts w:ascii="Inherit" w:eastAsia="Times New Roman" w:hAnsi="Inherit" w:cs="Times New Roman"/>
                <w:noProof w:val="0"/>
                <w:color w:val="212121"/>
                <w:sz w:val="24"/>
                <w:szCs w:val="24"/>
                <w:lang w:eastAsia="it-IT"/>
              </w:rPr>
              <w:t>Camtasia software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2D" w:rsidRPr="008D1F2D" w:rsidRDefault="008D1F2D" w:rsidP="008D1F2D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</w:pPr>
            <w:r w:rsidRPr="008D1F2D">
              <w:rPr>
                <w:rFonts w:ascii="Calibri" w:eastAsia="Times New Roman" w:hAnsi="Calibri" w:cs="Times New Roman"/>
                <w:noProof w:val="0"/>
                <w:color w:val="000000"/>
                <w:lang w:eastAsia="it-IT"/>
              </w:rPr>
              <w:t> </w:t>
            </w:r>
          </w:p>
        </w:tc>
      </w:tr>
    </w:tbl>
    <w:p w:rsidR="00F26B7B" w:rsidRDefault="00A92DD9" w:rsidP="00F26B7B">
      <w:pPr>
        <w:rPr>
          <w:lang w:eastAsia="it-IT"/>
        </w:rPr>
      </w:pPr>
      <w:r>
        <w:rPr>
          <w:lang w:val="nb-NO" w:eastAsia="nb-N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215265</wp:posOffset>
            </wp:positionV>
            <wp:extent cx="3962400" cy="2400300"/>
            <wp:effectExtent l="0" t="0" r="19050" b="19050"/>
            <wp:wrapNone/>
            <wp:docPr id="9" name="Gra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8D1F2D" w:rsidRDefault="008D1F2D" w:rsidP="00F26B7B">
      <w:pPr>
        <w:rPr>
          <w:lang w:eastAsia="it-IT"/>
        </w:rPr>
      </w:pPr>
    </w:p>
    <w:p w:rsidR="008D1F2D" w:rsidRDefault="008D1F2D" w:rsidP="00F26B7B"/>
    <w:p w:rsidR="00F26B7B" w:rsidRDefault="00F26B7B" w:rsidP="00F26B7B"/>
    <w:p w:rsidR="001F3B0F" w:rsidRDefault="001F3B0F" w:rsidP="00F26B7B"/>
    <w:p w:rsidR="001F3B0F" w:rsidRDefault="001F3B0F" w:rsidP="00F26B7B"/>
    <w:p w:rsidR="001F3B0F" w:rsidRDefault="001F3B0F" w:rsidP="00F26B7B"/>
    <w:p w:rsidR="001F3B0F" w:rsidRDefault="001F3B0F" w:rsidP="00F26B7B"/>
    <w:p w:rsidR="00A92DD9" w:rsidRPr="00A92DD9" w:rsidRDefault="00A92DD9" w:rsidP="00A92DD9">
      <w:pPr>
        <w:jc w:val="center"/>
        <w:rPr>
          <w:b/>
          <w:color w:val="0070C0"/>
        </w:rPr>
      </w:pPr>
      <w:r w:rsidRPr="00A92DD9">
        <w:rPr>
          <w:b/>
          <w:color w:val="0070C0"/>
        </w:rPr>
        <w:t>GENERAL VIEWS</w:t>
      </w:r>
    </w:p>
    <w:p w:rsidR="00A92DD9" w:rsidRPr="00A92DD9" w:rsidRDefault="00A92DD9" w:rsidP="00A92DD9">
      <w:pPr>
        <w:rPr>
          <w:b/>
          <w:color w:val="0070C0"/>
        </w:rPr>
      </w:pPr>
      <w:r w:rsidRPr="00A92DD9">
        <w:rPr>
          <w:b/>
          <w:color w:val="0070C0"/>
        </w:rPr>
        <w:t>STRENGTHS</w:t>
      </w:r>
    </w:p>
    <w:p w:rsidR="00A92DD9" w:rsidRDefault="00A92DD9" w:rsidP="001F3B0F">
      <w:r w:rsidRPr="00A92DD9">
        <w:t>The meeting was organized in an excellent manner. Professionalism of the Portuguese team in a beautiful location. Very interesting teaching materials especially those related to using Camtasia for video production. Great professionalism by all participating countries.</w:t>
      </w:r>
    </w:p>
    <w:p w:rsidR="00A92DD9" w:rsidRPr="00A92DD9" w:rsidRDefault="00A92DD9" w:rsidP="00A92DD9">
      <w:pPr>
        <w:rPr>
          <w:b/>
          <w:color w:val="0070C0"/>
        </w:rPr>
      </w:pPr>
      <w:r w:rsidRPr="00A92DD9">
        <w:rPr>
          <w:b/>
          <w:color w:val="0070C0"/>
        </w:rPr>
        <w:t>POINTS OF WEAKNESS</w:t>
      </w:r>
    </w:p>
    <w:p w:rsidR="00A92DD9" w:rsidRPr="00A92DD9" w:rsidRDefault="00A92DD9" w:rsidP="00A92DD9">
      <w:pPr>
        <w:pStyle w:val="HTML-forhndsformatert"/>
        <w:shd w:val="clear" w:color="auto" w:fill="FFFFFF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A92DD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Need for more time to devote to the laboratories and the use of Camtasia and multi-day meetings</w:t>
      </w:r>
    </w:p>
    <w:p w:rsidR="00711EC6" w:rsidRDefault="00711EC6" w:rsidP="001F3B0F"/>
    <w:p w:rsidR="00711EC6" w:rsidRDefault="00711EC6" w:rsidP="001F3B0F"/>
    <w:p w:rsidR="001F3B0F" w:rsidRDefault="001F3B0F" w:rsidP="001F3B0F">
      <w:pPr>
        <w:rPr>
          <w:b/>
          <w:color w:val="0070C0"/>
        </w:rPr>
      </w:pPr>
    </w:p>
    <w:p w:rsidR="001F3B0F" w:rsidRDefault="001F3B0F" w:rsidP="001F3B0F">
      <w:pPr>
        <w:rPr>
          <w:b/>
          <w:color w:val="0070C0"/>
        </w:rPr>
      </w:pPr>
    </w:p>
    <w:p w:rsidR="001F3B0F" w:rsidRPr="001F3B0F" w:rsidRDefault="001F3B0F" w:rsidP="001F3B0F">
      <w:pPr>
        <w:rPr>
          <w:b/>
          <w:color w:val="0070C0"/>
        </w:rPr>
      </w:pPr>
    </w:p>
    <w:sectPr w:rsidR="001F3B0F" w:rsidRPr="001F3B0F" w:rsidSect="00B110AF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7F" w:rsidRDefault="0021107F" w:rsidP="00DA4352">
      <w:pPr>
        <w:spacing w:after="0" w:line="240" w:lineRule="auto"/>
      </w:pPr>
      <w:r>
        <w:separator/>
      </w:r>
    </w:p>
  </w:endnote>
  <w:endnote w:type="continuationSeparator" w:id="0">
    <w:p w:rsidR="0021107F" w:rsidRDefault="0021107F" w:rsidP="00DA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7F" w:rsidRDefault="0021107F" w:rsidP="00DA4352">
      <w:pPr>
        <w:spacing w:after="0" w:line="240" w:lineRule="auto"/>
      </w:pPr>
      <w:r>
        <w:separator/>
      </w:r>
    </w:p>
  </w:footnote>
  <w:footnote w:type="continuationSeparator" w:id="0">
    <w:p w:rsidR="0021107F" w:rsidRDefault="0021107F" w:rsidP="00DA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52" w:rsidRDefault="00DA4352">
    <w:pPr>
      <w:pStyle w:val="Topptekst"/>
    </w:pPr>
    <w:r>
      <w:rPr>
        <w:b/>
        <w:color w:val="222222"/>
        <w:lang w:val="nb-NO" w:eastAsia="nb-NO"/>
      </w:rPr>
      <w:drawing>
        <wp:inline distT="0" distB="0" distL="0" distR="0">
          <wp:extent cx="990602" cy="619125"/>
          <wp:effectExtent l="0" t="0" r="0" b="0"/>
          <wp:docPr id="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761" cy="624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lang w:val="nb-NO" w:eastAsia="nb-NO"/>
      </w:rPr>
      <w:drawing>
        <wp:inline distT="0" distB="0" distL="0" distR="0">
          <wp:extent cx="1777146" cy="400050"/>
          <wp:effectExtent l="0" t="0" r="0" b="0"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rasmus_pl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408" cy="408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1FE"/>
    <w:multiLevelType w:val="hybridMultilevel"/>
    <w:tmpl w:val="C6AA2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693E"/>
    <w:multiLevelType w:val="hybridMultilevel"/>
    <w:tmpl w:val="4A5C41B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0E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D220A"/>
    <w:multiLevelType w:val="hybridMultilevel"/>
    <w:tmpl w:val="6AD29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F0D21"/>
    <w:multiLevelType w:val="hybridMultilevel"/>
    <w:tmpl w:val="AE882AC0"/>
    <w:lvl w:ilvl="0" w:tplc="E27C5E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84"/>
    <w:rsid w:val="000636EE"/>
    <w:rsid w:val="001F3B0F"/>
    <w:rsid w:val="0021107F"/>
    <w:rsid w:val="002E17C5"/>
    <w:rsid w:val="00340384"/>
    <w:rsid w:val="00351167"/>
    <w:rsid w:val="003D703D"/>
    <w:rsid w:val="005435AB"/>
    <w:rsid w:val="0055031B"/>
    <w:rsid w:val="005A445A"/>
    <w:rsid w:val="00673B63"/>
    <w:rsid w:val="00711EC6"/>
    <w:rsid w:val="008D1F2D"/>
    <w:rsid w:val="00A066AA"/>
    <w:rsid w:val="00A64F64"/>
    <w:rsid w:val="00A92DD9"/>
    <w:rsid w:val="00AC6109"/>
    <w:rsid w:val="00B110AF"/>
    <w:rsid w:val="00BB75CE"/>
    <w:rsid w:val="00C0079E"/>
    <w:rsid w:val="00C7535F"/>
    <w:rsid w:val="00D96A54"/>
    <w:rsid w:val="00DA4352"/>
    <w:rsid w:val="00E334EE"/>
    <w:rsid w:val="00F2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384"/>
    <w:pPr>
      <w:ind w:left="720"/>
      <w:contextualSpacing/>
    </w:pPr>
  </w:style>
  <w:style w:type="paragraph" w:styleId="Bobletekst">
    <w:name w:val="Balloon Text"/>
    <w:basedOn w:val="Normal"/>
    <w:link w:val="TestofumettoCarattere"/>
    <w:uiPriority w:val="99"/>
    <w:semiHidden/>
    <w:unhideWhenUsed/>
    <w:rsid w:val="00E3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Standardskriftforavsnitt"/>
    <w:link w:val="Bobletekst"/>
    <w:uiPriority w:val="99"/>
    <w:semiHidden/>
    <w:rsid w:val="00E334EE"/>
    <w:rPr>
      <w:rFonts w:ascii="Tahoma" w:hAnsi="Tahoma" w:cs="Tahoma"/>
      <w:noProof/>
      <w:sz w:val="16"/>
      <w:szCs w:val="16"/>
    </w:rPr>
  </w:style>
  <w:style w:type="paragraph" w:styleId="Topptekst">
    <w:name w:val="header"/>
    <w:basedOn w:val="Normal"/>
    <w:link w:val="IntestazioneCarattere"/>
    <w:uiPriority w:val="99"/>
    <w:unhideWhenUsed/>
    <w:rsid w:val="00DA4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Standardskriftforavsnitt"/>
    <w:link w:val="Topptekst"/>
    <w:uiPriority w:val="99"/>
    <w:rsid w:val="00DA4352"/>
    <w:rPr>
      <w:noProof/>
    </w:rPr>
  </w:style>
  <w:style w:type="paragraph" w:styleId="Bunntekst">
    <w:name w:val="footer"/>
    <w:basedOn w:val="Normal"/>
    <w:link w:val="PidipaginaCarattere"/>
    <w:uiPriority w:val="99"/>
    <w:unhideWhenUsed/>
    <w:rsid w:val="00DA4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Standardskriftforavsnitt"/>
    <w:link w:val="Bunntekst"/>
    <w:uiPriority w:val="99"/>
    <w:rsid w:val="00DA4352"/>
    <w:rPr>
      <w:noProof/>
    </w:rPr>
  </w:style>
  <w:style w:type="paragraph" w:styleId="HTML-forhndsformatert">
    <w:name w:val="HTML Preformatted"/>
    <w:basedOn w:val="Normal"/>
    <w:link w:val="PreformattatoHTMLCarattere"/>
    <w:uiPriority w:val="99"/>
    <w:unhideWhenUsed/>
    <w:rsid w:val="00A92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Standardskriftforavsnitt"/>
    <w:link w:val="HTML-forhndsformatert"/>
    <w:uiPriority w:val="99"/>
    <w:rsid w:val="00A92DD9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0384"/>
    <w:pPr>
      <w:ind w:left="720"/>
      <w:contextualSpacing/>
    </w:pPr>
  </w:style>
  <w:style w:type="paragraph" w:styleId="Bobletekst">
    <w:name w:val="Balloon Text"/>
    <w:basedOn w:val="Normal"/>
    <w:link w:val="TestofumettoCarattere"/>
    <w:uiPriority w:val="99"/>
    <w:semiHidden/>
    <w:unhideWhenUsed/>
    <w:rsid w:val="00E3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Standardskriftforavsnitt"/>
    <w:link w:val="Bobletekst"/>
    <w:uiPriority w:val="99"/>
    <w:semiHidden/>
    <w:rsid w:val="00E334EE"/>
    <w:rPr>
      <w:rFonts w:ascii="Tahoma" w:hAnsi="Tahoma" w:cs="Tahoma"/>
      <w:noProof/>
      <w:sz w:val="16"/>
      <w:szCs w:val="16"/>
    </w:rPr>
  </w:style>
  <w:style w:type="paragraph" w:styleId="Topptekst">
    <w:name w:val="header"/>
    <w:basedOn w:val="Normal"/>
    <w:link w:val="IntestazioneCarattere"/>
    <w:uiPriority w:val="99"/>
    <w:unhideWhenUsed/>
    <w:rsid w:val="00DA4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Standardskriftforavsnitt"/>
    <w:link w:val="Topptekst"/>
    <w:uiPriority w:val="99"/>
    <w:rsid w:val="00DA4352"/>
    <w:rPr>
      <w:noProof/>
    </w:rPr>
  </w:style>
  <w:style w:type="paragraph" w:styleId="Bunntekst">
    <w:name w:val="footer"/>
    <w:basedOn w:val="Normal"/>
    <w:link w:val="PidipaginaCarattere"/>
    <w:uiPriority w:val="99"/>
    <w:unhideWhenUsed/>
    <w:rsid w:val="00DA4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Standardskriftforavsnitt"/>
    <w:link w:val="Bunntekst"/>
    <w:uiPriority w:val="99"/>
    <w:rsid w:val="00DA4352"/>
    <w:rPr>
      <w:noProof/>
    </w:rPr>
  </w:style>
  <w:style w:type="paragraph" w:styleId="HTML-forhndsformatert">
    <w:name w:val="HTML Preformatted"/>
    <w:basedOn w:val="Normal"/>
    <w:link w:val="PreformattatoHTMLCarattere"/>
    <w:uiPriority w:val="99"/>
    <w:unhideWhenUsed/>
    <w:rsid w:val="00A92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Standardskriftforavsnitt"/>
    <w:link w:val="HTML-forhndsformatert"/>
    <w:uiPriority w:val="99"/>
    <w:rsid w:val="00A92DD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regnear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2789430732923127E-2"/>
          <c:y val="5.1400554097404488E-2"/>
          <c:w val="0.6688358808090169"/>
          <c:h val="0.776114756488772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Foglio1!$M$2</c:f>
              <c:strCache>
                <c:ptCount val="1"/>
                <c:pt idx="0">
                  <c:v>PROPER</c:v>
                </c:pt>
              </c:strCache>
            </c:strRef>
          </c:tx>
          <c:invertIfNegative val="0"/>
          <c:cat>
            <c:strRef>
              <c:f>Foglio1!$L$3:$L$7</c:f>
              <c:strCache>
                <c:ptCount val="5"/>
                <c:pt idx="0">
                  <c:v>very positive</c:v>
                </c:pt>
                <c:pt idx="1">
                  <c:v>positive</c:v>
                </c:pt>
                <c:pt idx="2">
                  <c:v>little positive</c:v>
                </c:pt>
                <c:pt idx="3">
                  <c:v>negative</c:v>
                </c:pt>
                <c:pt idx="4">
                  <c:v>very negative</c:v>
                </c:pt>
              </c:strCache>
            </c:strRef>
          </c:cat>
          <c:val>
            <c:numRef>
              <c:f>Foglio1!$M$3:$M$7</c:f>
              <c:numCache>
                <c:formatCode>General</c:formatCode>
                <c:ptCount val="5"/>
                <c:pt idx="0">
                  <c:v>106</c:v>
                </c:pt>
                <c:pt idx="1">
                  <c:v>18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Foglio1!$N$2</c:f>
              <c:strCache>
                <c:ptCount val="1"/>
                <c:pt idx="0">
                  <c:v>EFFICIENT</c:v>
                </c:pt>
              </c:strCache>
            </c:strRef>
          </c:tx>
          <c:invertIfNegative val="0"/>
          <c:cat>
            <c:strRef>
              <c:f>Foglio1!$L$3:$L$7</c:f>
              <c:strCache>
                <c:ptCount val="5"/>
                <c:pt idx="0">
                  <c:v>very positive</c:v>
                </c:pt>
                <c:pt idx="1">
                  <c:v>positive</c:v>
                </c:pt>
                <c:pt idx="2">
                  <c:v>little positive</c:v>
                </c:pt>
                <c:pt idx="3">
                  <c:v>negative</c:v>
                </c:pt>
                <c:pt idx="4">
                  <c:v>very negative</c:v>
                </c:pt>
              </c:strCache>
            </c:strRef>
          </c:cat>
          <c:val>
            <c:numRef>
              <c:f>Foglio1!$N$3:$N$7</c:f>
              <c:numCache>
                <c:formatCode>General</c:formatCode>
                <c:ptCount val="5"/>
                <c:pt idx="0">
                  <c:v>90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Foglio1!$O$2</c:f>
              <c:strCache>
                <c:ptCount val="1"/>
                <c:pt idx="0">
                  <c:v>FUNCTIONAL</c:v>
                </c:pt>
              </c:strCache>
            </c:strRef>
          </c:tx>
          <c:invertIfNegative val="0"/>
          <c:cat>
            <c:strRef>
              <c:f>Foglio1!$L$3:$L$7</c:f>
              <c:strCache>
                <c:ptCount val="5"/>
                <c:pt idx="0">
                  <c:v>very positive</c:v>
                </c:pt>
                <c:pt idx="1">
                  <c:v>positive</c:v>
                </c:pt>
                <c:pt idx="2">
                  <c:v>little positive</c:v>
                </c:pt>
                <c:pt idx="3">
                  <c:v>negative</c:v>
                </c:pt>
                <c:pt idx="4">
                  <c:v>very negative</c:v>
                </c:pt>
              </c:strCache>
            </c:strRef>
          </c:cat>
          <c:val>
            <c:numRef>
              <c:f>Foglio1!$O$3:$O$7</c:f>
              <c:numCache>
                <c:formatCode>General</c:formatCode>
                <c:ptCount val="5"/>
                <c:pt idx="0">
                  <c:v>34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010368"/>
        <c:axId val="49369088"/>
      </c:barChart>
      <c:catAx>
        <c:axId val="17801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49369088"/>
        <c:crosses val="autoZero"/>
        <c:auto val="1"/>
        <c:lblAlgn val="ctr"/>
        <c:lblOffset val="100"/>
        <c:noMultiLvlLbl val="0"/>
      </c:catAx>
      <c:valAx>
        <c:axId val="49369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0103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Foglio1!$B$43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Foglio1!$A$44:$A$47</c:f>
              <c:strCache>
                <c:ptCount val="4"/>
                <c:pt idx="0">
                  <c:v>CONTENTS</c:v>
                </c:pt>
                <c:pt idx="1">
                  <c:v>TOPICS</c:v>
                </c:pt>
                <c:pt idx="2">
                  <c:v>CLIMATE</c:v>
                </c:pt>
                <c:pt idx="3">
                  <c:v>METHODOLOGIES</c:v>
                </c:pt>
              </c:strCache>
            </c:strRef>
          </c:cat>
          <c:val>
            <c:numRef>
              <c:f>Foglio1!$B$44:$B$47</c:f>
              <c:numCache>
                <c:formatCode>General</c:formatCode>
                <c:ptCount val="4"/>
                <c:pt idx="1">
                  <c:v>21</c:v>
                </c:pt>
                <c:pt idx="2">
                  <c:v>22</c:v>
                </c:pt>
                <c:pt idx="3">
                  <c:v>22</c:v>
                </c:pt>
              </c:numCache>
            </c:numRef>
          </c:val>
        </c:ser>
        <c:ser>
          <c:idx val="1"/>
          <c:order val="1"/>
          <c:tx>
            <c:strRef>
              <c:f>Foglio1!$C$43</c:f>
              <c:strCache>
                <c:ptCount val="1"/>
                <c:pt idx="0">
                  <c:v>negative</c:v>
                </c:pt>
              </c:strCache>
            </c:strRef>
          </c:tx>
          <c:invertIfNegative val="0"/>
          <c:cat>
            <c:strRef>
              <c:f>Foglio1!$A$44:$A$47</c:f>
              <c:strCache>
                <c:ptCount val="4"/>
                <c:pt idx="0">
                  <c:v>CONTENTS</c:v>
                </c:pt>
                <c:pt idx="1">
                  <c:v>TOPICS</c:v>
                </c:pt>
                <c:pt idx="2">
                  <c:v>CLIMATE</c:v>
                </c:pt>
                <c:pt idx="3">
                  <c:v>METHODOLOGIES</c:v>
                </c:pt>
              </c:strCache>
            </c:strRef>
          </c:cat>
          <c:val>
            <c:numRef>
              <c:f>Foglio1!$C$44:$C$47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Foglio1!$D$43</c:f>
              <c:strCache>
                <c:ptCount val="1"/>
                <c:pt idx="0">
                  <c:v>enough</c:v>
                </c:pt>
              </c:strCache>
            </c:strRef>
          </c:tx>
          <c:invertIfNegative val="0"/>
          <c:cat>
            <c:strRef>
              <c:f>Foglio1!$A$44:$A$47</c:f>
              <c:strCache>
                <c:ptCount val="4"/>
                <c:pt idx="0">
                  <c:v>CONTENTS</c:v>
                </c:pt>
                <c:pt idx="1">
                  <c:v>TOPICS</c:v>
                </c:pt>
                <c:pt idx="2">
                  <c:v>CLIMATE</c:v>
                </c:pt>
                <c:pt idx="3">
                  <c:v>METHODOLOGIES</c:v>
                </c:pt>
              </c:strCache>
            </c:strRef>
          </c:cat>
          <c:val>
            <c:numRef>
              <c:f>Foglio1!$D$44:$D$47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49395200"/>
        <c:axId val="49396736"/>
        <c:axId val="0"/>
      </c:bar3DChart>
      <c:catAx>
        <c:axId val="4939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49396736"/>
        <c:crosses val="autoZero"/>
        <c:auto val="1"/>
        <c:lblAlgn val="ctr"/>
        <c:lblOffset val="100"/>
        <c:noMultiLvlLbl val="0"/>
      </c:catAx>
      <c:valAx>
        <c:axId val="4939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395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Foglio1!$B$59</c:f>
              <c:strCache>
                <c:ptCount val="1"/>
                <c:pt idx="0">
                  <c:v>very positive</c:v>
                </c:pt>
              </c:strCache>
            </c:strRef>
          </c:tx>
          <c:invertIfNegative val="0"/>
          <c:cat>
            <c:strRef>
              <c:f>Foglio1!$A$60:$A$65</c:f>
              <c:strCache>
                <c:ptCount val="6"/>
                <c:pt idx="0">
                  <c:v>Degree of involvement</c:v>
                </c:pt>
                <c:pt idx="1">
                  <c:v>Quantity of the material</c:v>
                </c:pt>
                <c:pt idx="2">
                  <c:v>Quality of the material</c:v>
                </c:pt>
                <c:pt idx="3">
                  <c:v>technical Tools</c:v>
                </c:pt>
                <c:pt idx="4">
                  <c:v>video lessons</c:v>
                </c:pt>
                <c:pt idx="5">
                  <c:v>Camtasia software</c:v>
                </c:pt>
              </c:strCache>
            </c:strRef>
          </c:cat>
          <c:val>
            <c:numRef>
              <c:f>Foglio1!$B$60:$B$65</c:f>
              <c:numCache>
                <c:formatCode>General</c:formatCode>
                <c:ptCount val="6"/>
                <c:pt idx="0">
                  <c:v>13</c:v>
                </c:pt>
                <c:pt idx="1">
                  <c:v>13</c:v>
                </c:pt>
                <c:pt idx="2">
                  <c:v>18</c:v>
                </c:pt>
                <c:pt idx="3">
                  <c:v>18</c:v>
                </c:pt>
                <c:pt idx="4">
                  <c:v>17</c:v>
                </c:pt>
                <c:pt idx="5">
                  <c:v>13</c:v>
                </c:pt>
              </c:numCache>
            </c:numRef>
          </c:val>
        </c:ser>
        <c:ser>
          <c:idx val="1"/>
          <c:order val="1"/>
          <c:tx>
            <c:strRef>
              <c:f>Foglio1!$C$59</c:f>
              <c:strCache>
                <c:ptCount val="1"/>
                <c:pt idx="0">
                  <c:v>positive</c:v>
                </c:pt>
              </c:strCache>
            </c:strRef>
          </c:tx>
          <c:invertIfNegative val="0"/>
          <c:cat>
            <c:strRef>
              <c:f>Foglio1!$A$60:$A$65</c:f>
              <c:strCache>
                <c:ptCount val="6"/>
                <c:pt idx="0">
                  <c:v>Degree of involvement</c:v>
                </c:pt>
                <c:pt idx="1">
                  <c:v>Quantity of the material</c:v>
                </c:pt>
                <c:pt idx="2">
                  <c:v>Quality of the material</c:v>
                </c:pt>
                <c:pt idx="3">
                  <c:v>technical Tools</c:v>
                </c:pt>
                <c:pt idx="4">
                  <c:v>video lessons</c:v>
                </c:pt>
                <c:pt idx="5">
                  <c:v>Camtasia software</c:v>
                </c:pt>
              </c:strCache>
            </c:strRef>
          </c:cat>
          <c:val>
            <c:numRef>
              <c:f>Foglio1!$C$60:$C$65</c:f>
              <c:numCache>
                <c:formatCode>General</c:formatCode>
                <c:ptCount val="6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Foglio1!$D$59</c:f>
              <c:strCache>
                <c:ptCount val="1"/>
                <c:pt idx="0">
                  <c:v> little positive</c:v>
                </c:pt>
              </c:strCache>
            </c:strRef>
          </c:tx>
          <c:invertIfNegative val="0"/>
          <c:cat>
            <c:strRef>
              <c:f>Foglio1!$A$60:$A$65</c:f>
              <c:strCache>
                <c:ptCount val="6"/>
                <c:pt idx="0">
                  <c:v>Degree of involvement</c:v>
                </c:pt>
                <c:pt idx="1">
                  <c:v>Quantity of the material</c:v>
                </c:pt>
                <c:pt idx="2">
                  <c:v>Quality of the material</c:v>
                </c:pt>
                <c:pt idx="3">
                  <c:v>technical Tools</c:v>
                </c:pt>
                <c:pt idx="4">
                  <c:v>video lessons</c:v>
                </c:pt>
                <c:pt idx="5">
                  <c:v>Camtasia software</c:v>
                </c:pt>
              </c:strCache>
            </c:strRef>
          </c:cat>
          <c:val>
            <c:numRef>
              <c:f>Foglio1!$D$60:$D$65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5">
                  <c:v>3</c:v>
                </c:pt>
              </c:numCache>
            </c:numRef>
          </c:val>
        </c:ser>
        <c:ser>
          <c:idx val="3"/>
          <c:order val="3"/>
          <c:tx>
            <c:strRef>
              <c:f>Foglio1!$E$59</c:f>
              <c:strCache>
                <c:ptCount val="1"/>
                <c:pt idx="0">
                  <c:v>negative</c:v>
                </c:pt>
              </c:strCache>
            </c:strRef>
          </c:tx>
          <c:invertIfNegative val="0"/>
          <c:cat>
            <c:strRef>
              <c:f>Foglio1!$A$60:$A$65</c:f>
              <c:strCache>
                <c:ptCount val="6"/>
                <c:pt idx="0">
                  <c:v>Degree of involvement</c:v>
                </c:pt>
                <c:pt idx="1">
                  <c:v>Quantity of the material</c:v>
                </c:pt>
                <c:pt idx="2">
                  <c:v>Quality of the material</c:v>
                </c:pt>
                <c:pt idx="3">
                  <c:v>technical Tools</c:v>
                </c:pt>
                <c:pt idx="4">
                  <c:v>video lessons</c:v>
                </c:pt>
                <c:pt idx="5">
                  <c:v>Camtasia software</c:v>
                </c:pt>
              </c:strCache>
            </c:strRef>
          </c:cat>
          <c:val>
            <c:numRef>
              <c:f>Foglio1!$E$60:$E$65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Foglio1!$F$59</c:f>
              <c:strCache>
                <c:ptCount val="1"/>
                <c:pt idx="0">
                  <c:v>very negative</c:v>
                </c:pt>
              </c:strCache>
            </c:strRef>
          </c:tx>
          <c:invertIfNegative val="0"/>
          <c:cat>
            <c:strRef>
              <c:f>Foglio1!$A$60:$A$65</c:f>
              <c:strCache>
                <c:ptCount val="6"/>
                <c:pt idx="0">
                  <c:v>Degree of involvement</c:v>
                </c:pt>
                <c:pt idx="1">
                  <c:v>Quantity of the material</c:v>
                </c:pt>
                <c:pt idx="2">
                  <c:v>Quality of the material</c:v>
                </c:pt>
                <c:pt idx="3">
                  <c:v>technical Tools</c:v>
                </c:pt>
                <c:pt idx="4">
                  <c:v>video lessons</c:v>
                </c:pt>
                <c:pt idx="5">
                  <c:v>Camtasia software</c:v>
                </c:pt>
              </c:strCache>
            </c:strRef>
          </c:cat>
          <c:val>
            <c:numRef>
              <c:f>Foglio1!$F$60:$F$65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47360"/>
        <c:axId val="131648896"/>
      </c:barChart>
      <c:catAx>
        <c:axId val="131647360"/>
        <c:scaling>
          <c:orientation val="minMax"/>
        </c:scaling>
        <c:delete val="0"/>
        <c:axPos val="l"/>
        <c:majorTickMark val="out"/>
        <c:minorTickMark val="none"/>
        <c:tickLblPos val="nextTo"/>
        <c:crossAx val="131648896"/>
        <c:crosses val="autoZero"/>
        <c:auto val="1"/>
        <c:lblAlgn val="ctr"/>
        <c:lblOffset val="100"/>
        <c:noMultiLvlLbl val="0"/>
      </c:catAx>
      <c:valAx>
        <c:axId val="131648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16473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1794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Porsgrunn Kommune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Asus Book</dc:creator>
  <cp:lastModifiedBy>Torgeir Standal</cp:lastModifiedBy>
  <cp:revision>2</cp:revision>
  <dcterms:created xsi:type="dcterms:W3CDTF">2016-12-19T06:57:00Z</dcterms:created>
  <dcterms:modified xsi:type="dcterms:W3CDTF">2016-12-19T06:57:00Z</dcterms:modified>
</cp:coreProperties>
</file>